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02FF" w14:textId="77777777" w:rsidR="00544527" w:rsidRDefault="00544527">
      <w:pPr>
        <w:jc w:val="center"/>
        <w:rPr>
          <w:b/>
          <w:sz w:val="32"/>
          <w:szCs w:val="32"/>
        </w:rPr>
      </w:pPr>
      <w:r>
        <w:rPr>
          <w:b/>
          <w:sz w:val="32"/>
          <w:szCs w:val="32"/>
        </w:rPr>
        <w:t>LICENSING ACT 2003 - PUBLIC NOTICE OF APPLICATION</w:t>
      </w:r>
    </w:p>
    <w:p w14:paraId="067BDFD6" w14:textId="77777777" w:rsidR="00544527" w:rsidRDefault="00544527">
      <w:pPr>
        <w:rPr>
          <w:sz w:val="22"/>
          <w:szCs w:val="32"/>
        </w:rPr>
      </w:pPr>
    </w:p>
    <w:tbl>
      <w:tblPr>
        <w:tblW w:w="0" w:type="auto"/>
        <w:tblLook w:val="0000" w:firstRow="0" w:lastRow="0" w:firstColumn="0" w:lastColumn="0" w:noHBand="0" w:noVBand="0"/>
      </w:tblPr>
      <w:tblGrid>
        <w:gridCol w:w="10204"/>
      </w:tblGrid>
      <w:tr w:rsidR="00000000" w14:paraId="08EC7B81" w14:textId="77777777">
        <w:tblPrEx>
          <w:tblCellMar>
            <w:top w:w="0" w:type="dxa"/>
            <w:bottom w:w="0" w:type="dxa"/>
          </w:tblCellMar>
        </w:tblPrEx>
        <w:tc>
          <w:tcPr>
            <w:tcW w:w="10420" w:type="dxa"/>
          </w:tcPr>
          <w:p w14:paraId="5946B722" w14:textId="77777777" w:rsidR="00544527" w:rsidRDefault="00544527">
            <w:pPr>
              <w:jc w:val="center"/>
              <w:rPr>
                <w:b/>
                <w:sz w:val="32"/>
                <w:szCs w:val="32"/>
              </w:rPr>
            </w:pPr>
            <w:r>
              <w:rPr>
                <w:b/>
                <w:sz w:val="32"/>
                <w:szCs w:val="32"/>
              </w:rPr>
              <w:t>APPLICATION FOR A PREMISES LICENCE / CLUB PREMISES CERTIFICATE * (under Sections 17 or 71 of the Act)</w:t>
            </w:r>
          </w:p>
        </w:tc>
      </w:tr>
      <w:tr w:rsidR="00000000" w14:paraId="172B7677" w14:textId="77777777">
        <w:tblPrEx>
          <w:tblCellMar>
            <w:top w:w="0" w:type="dxa"/>
            <w:bottom w:w="0" w:type="dxa"/>
          </w:tblCellMar>
        </w:tblPrEx>
        <w:tc>
          <w:tcPr>
            <w:tcW w:w="10420" w:type="dxa"/>
          </w:tcPr>
          <w:p w14:paraId="734AC9C5" w14:textId="77777777" w:rsidR="00544527" w:rsidRDefault="00544527">
            <w:pPr>
              <w:jc w:val="center"/>
              <w:rPr>
                <w:sz w:val="32"/>
                <w:szCs w:val="32"/>
              </w:rPr>
            </w:pPr>
            <w:r>
              <w:rPr>
                <w:sz w:val="32"/>
                <w:szCs w:val="32"/>
              </w:rPr>
              <w:t xml:space="preserve">* </w:t>
            </w:r>
            <w:proofErr w:type="gramStart"/>
            <w:r>
              <w:rPr>
                <w:sz w:val="32"/>
                <w:szCs w:val="32"/>
              </w:rPr>
              <w:t>delete</w:t>
            </w:r>
            <w:proofErr w:type="gramEnd"/>
            <w:r>
              <w:rPr>
                <w:sz w:val="32"/>
                <w:szCs w:val="32"/>
              </w:rPr>
              <w:t xml:space="preserve"> as appropriate</w:t>
            </w:r>
          </w:p>
        </w:tc>
      </w:tr>
    </w:tbl>
    <w:p w14:paraId="796C7C48" w14:textId="77777777" w:rsidR="00544527" w:rsidRDefault="00544527">
      <w:pPr>
        <w:jc w:val="center"/>
        <w:rPr>
          <w:sz w:val="22"/>
          <w:szCs w:val="3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5918"/>
      </w:tblGrid>
      <w:tr w:rsidR="00000000" w14:paraId="1FD39BC6" w14:textId="77777777" w:rsidTr="00416897">
        <w:trPr>
          <w:cantSplit/>
          <w:trHeight w:val="567"/>
        </w:trPr>
        <w:tc>
          <w:tcPr>
            <w:tcW w:w="4286" w:type="dxa"/>
            <w:tcBorders>
              <w:bottom w:val="nil"/>
            </w:tcBorders>
          </w:tcPr>
          <w:p w14:paraId="51E8DA2E" w14:textId="77777777" w:rsidR="00544527" w:rsidRDefault="00544527">
            <w:pPr>
              <w:rPr>
                <w:sz w:val="32"/>
                <w:szCs w:val="32"/>
              </w:rPr>
            </w:pPr>
            <w:r>
              <w:rPr>
                <w:sz w:val="32"/>
                <w:szCs w:val="32"/>
              </w:rPr>
              <w:t>Name of Applicant or Club</w:t>
            </w:r>
          </w:p>
        </w:tc>
        <w:tc>
          <w:tcPr>
            <w:tcW w:w="5908" w:type="dxa"/>
            <w:vMerge w:val="restart"/>
          </w:tcPr>
          <w:p w14:paraId="6D06F2A5" w14:textId="77777777" w:rsidR="00544527" w:rsidRDefault="00544527">
            <w:pPr>
              <w:rPr>
                <w:sz w:val="32"/>
                <w:szCs w:val="32"/>
              </w:rPr>
            </w:pPr>
            <w:r>
              <w:rPr>
                <w:sz w:val="32"/>
                <w:szCs w:val="32"/>
              </w:rPr>
              <w:fldChar w:fldCharType="begin">
                <w:ffData>
                  <w:name w:val="Text1"/>
                  <w:enabled/>
                  <w:calcOnExit w:val="0"/>
                  <w:textInput/>
                </w:ffData>
              </w:fldChar>
            </w:r>
            <w:bookmarkStart w:id="0" w:name="Text1"/>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0"/>
          </w:p>
          <w:p w14:paraId="3E979F46" w14:textId="77777777" w:rsidR="00544527" w:rsidRDefault="00544527">
            <w:pPr>
              <w:rPr>
                <w:sz w:val="32"/>
                <w:szCs w:val="32"/>
              </w:rPr>
            </w:pPr>
          </w:p>
          <w:p w14:paraId="59C619AB" w14:textId="77777777" w:rsidR="00544527" w:rsidRDefault="00544527">
            <w:pPr>
              <w:rPr>
                <w:sz w:val="32"/>
                <w:szCs w:val="32"/>
              </w:rPr>
            </w:pPr>
            <w:r>
              <w:rPr>
                <w:sz w:val="32"/>
                <w:szCs w:val="32"/>
              </w:rPr>
              <w:fldChar w:fldCharType="begin">
                <w:ffData>
                  <w:name w:val="Text2"/>
                  <w:enabled/>
                  <w:calcOnExit w:val="0"/>
                  <w:textInput/>
                </w:ffData>
              </w:fldChar>
            </w:r>
            <w:bookmarkStart w:id="1" w:name="Text2"/>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1"/>
          </w:p>
        </w:tc>
      </w:tr>
      <w:tr w:rsidR="00000000" w14:paraId="4DBAC914" w14:textId="77777777" w:rsidTr="00416897">
        <w:trPr>
          <w:cantSplit/>
          <w:trHeight w:val="978"/>
        </w:trPr>
        <w:tc>
          <w:tcPr>
            <w:tcW w:w="4286" w:type="dxa"/>
            <w:tcBorders>
              <w:top w:val="nil"/>
            </w:tcBorders>
          </w:tcPr>
          <w:p w14:paraId="140BCEED" w14:textId="77777777" w:rsidR="00544527" w:rsidRPr="00A241CE" w:rsidRDefault="00544527">
            <w:pPr>
              <w:rPr>
                <w:sz w:val="22"/>
                <w:szCs w:val="22"/>
              </w:rPr>
            </w:pPr>
            <w:r w:rsidRPr="00A241CE">
              <w:rPr>
                <w:sz w:val="22"/>
                <w:szCs w:val="22"/>
              </w:rPr>
              <w:t>Postal a</w:t>
            </w:r>
            <w:r w:rsidRPr="00A241CE">
              <w:rPr>
                <w:sz w:val="22"/>
                <w:szCs w:val="22"/>
              </w:rPr>
              <w:t>ddress of premises or club premises including Post Code (where possible) or a description to enable the location to be identified.</w:t>
            </w:r>
          </w:p>
        </w:tc>
        <w:tc>
          <w:tcPr>
            <w:tcW w:w="5908" w:type="dxa"/>
            <w:vMerge/>
          </w:tcPr>
          <w:p w14:paraId="240E2554" w14:textId="77777777" w:rsidR="00544527" w:rsidRDefault="00544527">
            <w:pPr>
              <w:rPr>
                <w:sz w:val="32"/>
                <w:szCs w:val="32"/>
              </w:rPr>
            </w:pPr>
          </w:p>
        </w:tc>
      </w:tr>
      <w:tr w:rsidR="00000000" w14:paraId="2EB6A7C0" w14:textId="77777777" w:rsidTr="00416897">
        <w:tc>
          <w:tcPr>
            <w:tcW w:w="10194" w:type="dxa"/>
            <w:gridSpan w:val="2"/>
          </w:tcPr>
          <w:p w14:paraId="11C0DBA3" w14:textId="77777777" w:rsidR="00544527" w:rsidRDefault="00544527">
            <w:pPr>
              <w:rPr>
                <w:sz w:val="32"/>
                <w:szCs w:val="32"/>
              </w:rPr>
            </w:pPr>
            <w:r>
              <w:rPr>
                <w:sz w:val="32"/>
                <w:szCs w:val="32"/>
              </w:rPr>
              <w:t>Statement of Relevant Licensable Activities or Relevant Qualifying Club Activities which it is proposed will be carried on, on or from the premises.</w:t>
            </w:r>
          </w:p>
        </w:tc>
      </w:tr>
      <w:tr w:rsidR="00000000" w14:paraId="43E15370" w14:textId="77777777" w:rsidTr="00416897">
        <w:trPr>
          <w:trHeight w:val="4536"/>
        </w:trPr>
        <w:tc>
          <w:tcPr>
            <w:tcW w:w="10194" w:type="dxa"/>
            <w:gridSpan w:val="2"/>
          </w:tcPr>
          <w:p w14:paraId="304E38AF" w14:textId="77777777" w:rsidR="00544527" w:rsidRDefault="00544527">
            <w:pPr>
              <w:spacing w:before="120"/>
              <w:rPr>
                <w:sz w:val="32"/>
                <w:szCs w:val="32"/>
              </w:rPr>
            </w:pPr>
            <w:r>
              <w:rPr>
                <w:sz w:val="32"/>
                <w:szCs w:val="32"/>
              </w:rPr>
              <w:fldChar w:fldCharType="begin">
                <w:ffData>
                  <w:name w:val="Text3"/>
                  <w:enabled/>
                  <w:calcOnExit w:val="0"/>
                  <w:textInput/>
                </w:ffData>
              </w:fldChar>
            </w:r>
            <w:bookmarkStart w:id="2" w:name="Text3"/>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2"/>
          </w:p>
        </w:tc>
      </w:tr>
      <w:tr w:rsidR="00000000" w14:paraId="2678E3C9" w14:textId="77777777" w:rsidTr="0041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4" w:type="dxa"/>
            <w:gridSpan w:val="2"/>
          </w:tcPr>
          <w:p w14:paraId="6C30C816" w14:textId="77777777" w:rsidR="00544527" w:rsidRDefault="00544527">
            <w:pPr>
              <w:rPr>
                <w:sz w:val="32"/>
              </w:rPr>
            </w:pPr>
            <w:r>
              <w:rPr>
                <w:sz w:val="32"/>
                <w:szCs w:val="32"/>
              </w:rPr>
              <w:t xml:space="preserve">Any representations by a Responsible Authority or any other person must be made in writing to the address below by:  </w:t>
            </w:r>
            <w:r>
              <w:rPr>
                <w:sz w:val="32"/>
                <w:szCs w:val="32"/>
              </w:rPr>
              <w:fldChar w:fldCharType="begin">
                <w:ffData>
                  <w:name w:val="Text4"/>
                  <w:enabled/>
                  <w:calcOnExit w:val="0"/>
                  <w:textInput/>
                </w:ffData>
              </w:fldChar>
            </w:r>
            <w:bookmarkStart w:id="3" w:name="Text4"/>
            <w:r>
              <w:rPr>
                <w:sz w:val="32"/>
                <w:szCs w:val="32"/>
              </w:rPr>
              <w:instrText xml:space="preserve"> FORMTEXT </w:instrText>
            </w:r>
            <w:r>
              <w:rPr>
                <w:sz w:val="32"/>
                <w:szCs w:val="32"/>
              </w:rPr>
            </w:r>
            <w:r>
              <w:rPr>
                <w:sz w:val="32"/>
                <w:szCs w:val="32"/>
              </w:rPr>
              <w:fldChar w:fldCharType="separate"/>
            </w:r>
            <w:r>
              <w:rPr>
                <w:noProof/>
                <w:sz w:val="32"/>
                <w:szCs w:val="32"/>
              </w:rPr>
              <w:t> </w:t>
            </w:r>
            <w:r>
              <w:rPr>
                <w:noProof/>
                <w:sz w:val="32"/>
                <w:szCs w:val="32"/>
              </w:rPr>
              <w:t> </w:t>
            </w:r>
            <w:r>
              <w:rPr>
                <w:noProof/>
                <w:sz w:val="32"/>
                <w:szCs w:val="32"/>
              </w:rPr>
              <w:t> </w:t>
            </w:r>
            <w:r>
              <w:rPr>
                <w:noProof/>
                <w:sz w:val="32"/>
                <w:szCs w:val="32"/>
              </w:rPr>
              <w:t> </w:t>
            </w:r>
            <w:r>
              <w:rPr>
                <w:noProof/>
                <w:sz w:val="32"/>
                <w:szCs w:val="32"/>
              </w:rPr>
              <w:t> </w:t>
            </w:r>
            <w:r>
              <w:rPr>
                <w:sz w:val="32"/>
                <w:szCs w:val="32"/>
              </w:rPr>
              <w:fldChar w:fldCharType="end"/>
            </w:r>
            <w:bookmarkEnd w:id="3"/>
          </w:p>
        </w:tc>
      </w:tr>
      <w:tr w:rsidR="00000000" w14:paraId="2C269C14" w14:textId="77777777" w:rsidTr="0041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4" w:type="dxa"/>
            <w:gridSpan w:val="2"/>
          </w:tcPr>
          <w:p w14:paraId="06C77029" w14:textId="77777777" w:rsidR="00A241CE" w:rsidRDefault="00A241CE">
            <w:pPr>
              <w:rPr>
                <w:sz w:val="28"/>
                <w:szCs w:val="32"/>
              </w:rPr>
            </w:pPr>
          </w:p>
        </w:tc>
      </w:tr>
      <w:tr w:rsidR="00000000" w14:paraId="56FB8BB5" w14:textId="77777777" w:rsidTr="0041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4" w:type="dxa"/>
            <w:gridSpan w:val="2"/>
          </w:tcPr>
          <w:p w14:paraId="2EB8ABCA" w14:textId="7DA3397F" w:rsidR="00416897" w:rsidRDefault="00544527">
            <w:pPr>
              <w:rPr>
                <w:sz w:val="32"/>
                <w:szCs w:val="32"/>
              </w:rPr>
            </w:pPr>
            <w:r>
              <w:rPr>
                <w:sz w:val="32"/>
                <w:szCs w:val="32"/>
              </w:rPr>
              <w:t xml:space="preserve">The Licensing Register may be inspected at the Licensing Authority, Harlow District Council, Civic Centre, </w:t>
            </w:r>
            <w:r>
              <w:rPr>
                <w:sz w:val="32"/>
                <w:szCs w:val="32"/>
              </w:rPr>
              <w:t>The Water Gardens, Harlow, Essex, CM20 1WG between 10:00 and 16:00 Monday to Friday except public holidays.</w:t>
            </w:r>
          </w:p>
          <w:p w14:paraId="66236D97" w14:textId="77777777" w:rsidR="00416897" w:rsidRDefault="00416897">
            <w:pPr>
              <w:rPr>
                <w:sz w:val="32"/>
                <w:szCs w:val="32"/>
              </w:rPr>
            </w:pPr>
          </w:p>
          <w:p w14:paraId="603E742B" w14:textId="1E2AB098" w:rsidR="00544527" w:rsidRDefault="00416897">
            <w:pPr>
              <w:rPr>
                <w:sz w:val="32"/>
                <w:szCs w:val="32"/>
              </w:rPr>
            </w:pPr>
            <w:r>
              <w:rPr>
                <w:sz w:val="32"/>
                <w:szCs w:val="32"/>
              </w:rPr>
              <w:t>Representation Forms:</w:t>
            </w:r>
            <w:hyperlink r:id="rId7" w:history="1">
              <w:r w:rsidRPr="00FB13A2">
                <w:rPr>
                  <w:rStyle w:val="Hyperlink"/>
                  <w:sz w:val="32"/>
                  <w:szCs w:val="32"/>
                </w:rPr>
                <w:t>www.harlow.gov.uk/business/licensing/alcohol-and-entertainment-licences/representations</w:t>
              </w:r>
            </w:hyperlink>
            <w:r w:rsidR="00A241CE">
              <w:rPr>
                <w:sz w:val="32"/>
                <w:szCs w:val="32"/>
              </w:rPr>
              <w:t xml:space="preserve"> </w:t>
            </w:r>
          </w:p>
        </w:tc>
      </w:tr>
      <w:tr w:rsidR="00000000" w:rsidRPr="00416897" w14:paraId="1F451F4E" w14:textId="77777777" w:rsidTr="0041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4" w:type="dxa"/>
            <w:gridSpan w:val="2"/>
          </w:tcPr>
          <w:p w14:paraId="4650F32A" w14:textId="77777777" w:rsidR="00544527" w:rsidRPr="00416897" w:rsidRDefault="00544527">
            <w:pPr>
              <w:rPr>
                <w:sz w:val="32"/>
                <w:szCs w:val="32"/>
              </w:rPr>
            </w:pPr>
          </w:p>
          <w:p w14:paraId="0E05D1EE" w14:textId="6C225D2A" w:rsidR="00A241CE" w:rsidRPr="00416897" w:rsidRDefault="00416897">
            <w:pPr>
              <w:rPr>
                <w:sz w:val="32"/>
                <w:szCs w:val="32"/>
              </w:rPr>
            </w:pPr>
            <w:r w:rsidRPr="00416897">
              <w:rPr>
                <w:sz w:val="32"/>
                <w:szCs w:val="32"/>
              </w:rPr>
              <w:t>Representation</w:t>
            </w:r>
            <w:r>
              <w:rPr>
                <w:sz w:val="32"/>
                <w:szCs w:val="32"/>
              </w:rPr>
              <w:t xml:space="preserve"> Forms in writing or send</w:t>
            </w:r>
            <w:r w:rsidRPr="00416897">
              <w:rPr>
                <w:sz w:val="32"/>
                <w:szCs w:val="32"/>
              </w:rPr>
              <w:t xml:space="preserve"> to: </w:t>
            </w:r>
            <w:hyperlink r:id="rId8" w:history="1">
              <w:r w:rsidRPr="00416897">
                <w:rPr>
                  <w:rStyle w:val="Hyperlink"/>
                  <w:sz w:val="32"/>
                  <w:szCs w:val="32"/>
                </w:rPr>
                <w:t>licensing@harlow.gov.uk</w:t>
              </w:r>
            </w:hyperlink>
            <w:r w:rsidRPr="00416897">
              <w:rPr>
                <w:sz w:val="32"/>
                <w:szCs w:val="32"/>
              </w:rPr>
              <w:t xml:space="preserve"> </w:t>
            </w:r>
          </w:p>
          <w:p w14:paraId="0B2B82C9" w14:textId="77777777" w:rsidR="00A241CE" w:rsidRPr="00416897" w:rsidRDefault="00A241CE">
            <w:pPr>
              <w:rPr>
                <w:sz w:val="32"/>
                <w:szCs w:val="32"/>
              </w:rPr>
            </w:pPr>
          </w:p>
        </w:tc>
      </w:tr>
      <w:tr w:rsidR="00000000" w14:paraId="4A0FF225" w14:textId="77777777" w:rsidTr="0041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204" w:type="dxa"/>
            <w:gridSpan w:val="2"/>
          </w:tcPr>
          <w:p w14:paraId="39CEB559" w14:textId="77777777" w:rsidR="00544527" w:rsidRDefault="00544527">
            <w:pPr>
              <w:rPr>
                <w:i/>
                <w:sz w:val="32"/>
                <w:szCs w:val="32"/>
              </w:rPr>
            </w:pPr>
            <w:r>
              <w:rPr>
                <w:sz w:val="32"/>
                <w:szCs w:val="32"/>
              </w:rPr>
              <w:t>It is an offence knowingly or recklessly to make a false statement in connection with an application punishable on summary conviction by a maximum fine of £5,000.</w:t>
            </w:r>
          </w:p>
        </w:tc>
      </w:tr>
    </w:tbl>
    <w:p w14:paraId="26CDC500" w14:textId="7AEAD944" w:rsidR="00544527" w:rsidRDefault="00544527">
      <w:pPr>
        <w:rPr>
          <w:b/>
          <w:i/>
          <w:sz w:val="32"/>
          <w:szCs w:val="32"/>
        </w:rPr>
      </w:pPr>
    </w:p>
    <w:p w14:paraId="42C8503A" w14:textId="77777777" w:rsidR="00416897" w:rsidRDefault="00416897">
      <w:pPr>
        <w:rPr>
          <w:b/>
          <w:i/>
          <w:sz w:val="32"/>
          <w:szCs w:val="32"/>
        </w:rPr>
      </w:pPr>
    </w:p>
    <w:p w14:paraId="26FDEC82" w14:textId="77777777" w:rsidR="00416897" w:rsidRDefault="00416897">
      <w:pPr>
        <w:rPr>
          <w:b/>
          <w:i/>
          <w:sz w:val="32"/>
          <w:szCs w:val="32"/>
        </w:rPr>
      </w:pPr>
    </w:p>
    <w:p w14:paraId="680FACFD" w14:textId="77777777" w:rsidR="00416897" w:rsidRDefault="00416897">
      <w:pPr>
        <w:rPr>
          <w:b/>
          <w:i/>
          <w:sz w:val="32"/>
          <w:szCs w:val="32"/>
        </w:rPr>
      </w:pPr>
    </w:p>
    <w:p w14:paraId="37551D17" w14:textId="77777777" w:rsidR="00A241CE" w:rsidRDefault="00A241CE">
      <w:pPr>
        <w:rPr>
          <w:b/>
          <w:i/>
          <w:sz w:val="32"/>
          <w:szCs w:val="32"/>
        </w:rPr>
      </w:pPr>
    </w:p>
    <w:tbl>
      <w:tblPr>
        <w:tblW w:w="0" w:type="auto"/>
        <w:tblLook w:val="0000" w:firstRow="0" w:lastRow="0" w:firstColumn="0" w:lastColumn="0" w:noHBand="0" w:noVBand="0"/>
      </w:tblPr>
      <w:tblGrid>
        <w:gridCol w:w="10204"/>
      </w:tblGrid>
      <w:tr w:rsidR="00544527" w14:paraId="330BD76B" w14:textId="77777777" w:rsidTr="00544527">
        <w:tblPrEx>
          <w:tblCellMar>
            <w:top w:w="0" w:type="dxa"/>
            <w:bottom w:w="0" w:type="dxa"/>
          </w:tblCellMar>
        </w:tblPrEx>
        <w:tc>
          <w:tcPr>
            <w:tcW w:w="10204" w:type="dxa"/>
          </w:tcPr>
          <w:p w14:paraId="6DBC45EE" w14:textId="77777777" w:rsidR="00544527" w:rsidRDefault="00544527" w:rsidP="00544527">
            <w:pPr>
              <w:rPr>
                <w:b/>
                <w:i/>
              </w:rPr>
            </w:pPr>
          </w:p>
          <w:p w14:paraId="75821B21" w14:textId="77777777" w:rsidR="00544527" w:rsidRDefault="00544527" w:rsidP="00544527">
            <w:pPr>
              <w:rPr>
                <w:b/>
                <w:i/>
              </w:rPr>
            </w:pPr>
          </w:p>
          <w:p w14:paraId="1B57B37B" w14:textId="77777777" w:rsidR="00544527" w:rsidRDefault="00544527" w:rsidP="00544527">
            <w:pPr>
              <w:rPr>
                <w:b/>
                <w:i/>
              </w:rPr>
            </w:pPr>
          </w:p>
          <w:p w14:paraId="3F0B6419" w14:textId="0E8D3E25" w:rsidR="00544527" w:rsidRDefault="00544527" w:rsidP="00544527">
            <w:pPr>
              <w:rPr>
                <w:b/>
                <w:i/>
                <w:sz w:val="32"/>
                <w:szCs w:val="32"/>
              </w:rPr>
            </w:pPr>
            <w:r>
              <w:rPr>
                <w:b/>
                <w:i/>
              </w:rPr>
              <w:t>Notes:</w:t>
            </w:r>
          </w:p>
        </w:tc>
      </w:tr>
      <w:tr w:rsidR="00544527" w14:paraId="773F178C" w14:textId="77777777" w:rsidTr="00544527">
        <w:tblPrEx>
          <w:tblCellMar>
            <w:top w:w="0" w:type="dxa"/>
            <w:bottom w:w="0" w:type="dxa"/>
          </w:tblCellMar>
        </w:tblPrEx>
        <w:tc>
          <w:tcPr>
            <w:tcW w:w="10204" w:type="dxa"/>
          </w:tcPr>
          <w:p w14:paraId="6853F085" w14:textId="77777777" w:rsidR="00544527" w:rsidRDefault="00544527" w:rsidP="00544527">
            <w:pPr>
              <w:rPr>
                <w:b/>
                <w:i/>
                <w:sz w:val="32"/>
                <w:szCs w:val="32"/>
              </w:rPr>
            </w:pPr>
          </w:p>
        </w:tc>
      </w:tr>
      <w:tr w:rsidR="00544527" w14:paraId="5E923C8B" w14:textId="77777777" w:rsidTr="00544527">
        <w:tblPrEx>
          <w:tblCellMar>
            <w:top w:w="0" w:type="dxa"/>
            <w:bottom w:w="0" w:type="dxa"/>
          </w:tblCellMar>
        </w:tblPrEx>
        <w:tc>
          <w:tcPr>
            <w:tcW w:w="10204" w:type="dxa"/>
          </w:tcPr>
          <w:p w14:paraId="4A775204" w14:textId="19A7F474" w:rsidR="00544527" w:rsidRDefault="00544527" w:rsidP="00544527">
            <w:pPr>
              <w:rPr>
                <w:b/>
                <w:i/>
                <w:sz w:val="32"/>
                <w:szCs w:val="32"/>
              </w:rPr>
            </w:pPr>
            <w:r>
              <w:rPr>
                <w:b/>
                <w:i/>
              </w:rPr>
              <w:t>This Notice must be published in a LOCAL NEWSPAPER circulating IN THE VICINITY OF THE PREMISES.</w:t>
            </w:r>
          </w:p>
        </w:tc>
      </w:tr>
      <w:tr w:rsidR="00544527" w14:paraId="711BE8DA" w14:textId="77777777" w:rsidTr="00544527">
        <w:tblPrEx>
          <w:tblCellMar>
            <w:top w:w="0" w:type="dxa"/>
            <w:bottom w:w="0" w:type="dxa"/>
          </w:tblCellMar>
        </w:tblPrEx>
        <w:tc>
          <w:tcPr>
            <w:tcW w:w="10204" w:type="dxa"/>
          </w:tcPr>
          <w:p w14:paraId="2B297936" w14:textId="77777777" w:rsidR="00544527" w:rsidRDefault="00544527" w:rsidP="00544527">
            <w:pPr>
              <w:rPr>
                <w:b/>
                <w:i/>
                <w:sz w:val="32"/>
                <w:szCs w:val="32"/>
              </w:rPr>
            </w:pPr>
          </w:p>
        </w:tc>
      </w:tr>
      <w:tr w:rsidR="00544527" w14:paraId="40F91C63" w14:textId="77777777" w:rsidTr="00544527">
        <w:tblPrEx>
          <w:tblCellMar>
            <w:top w:w="0" w:type="dxa"/>
            <w:bottom w:w="0" w:type="dxa"/>
          </w:tblCellMar>
        </w:tblPrEx>
        <w:tc>
          <w:tcPr>
            <w:tcW w:w="10204" w:type="dxa"/>
          </w:tcPr>
          <w:p w14:paraId="56C0E409" w14:textId="1EADF77E" w:rsidR="00544527" w:rsidRDefault="00544527" w:rsidP="00544527">
            <w:pPr>
              <w:rPr>
                <w:b/>
                <w:i/>
                <w:sz w:val="32"/>
                <w:szCs w:val="32"/>
              </w:rPr>
            </w:pPr>
            <w:r>
              <w:rPr>
                <w:b/>
                <w:i/>
              </w:rPr>
              <w:t>IF THERE IS NO LOCAL NEWSPAPER, the Notice may be published in a CIRCULAR OR SIMILAR DOCUMENT circulating IN THE VICINITY OF THE PREMISES.</w:t>
            </w:r>
          </w:p>
        </w:tc>
      </w:tr>
      <w:tr w:rsidR="00544527" w14:paraId="639C46CE" w14:textId="77777777" w:rsidTr="00544527">
        <w:tblPrEx>
          <w:tblCellMar>
            <w:top w:w="0" w:type="dxa"/>
            <w:bottom w:w="0" w:type="dxa"/>
          </w:tblCellMar>
        </w:tblPrEx>
        <w:tc>
          <w:tcPr>
            <w:tcW w:w="10204" w:type="dxa"/>
          </w:tcPr>
          <w:p w14:paraId="2FC2EA1E" w14:textId="77777777" w:rsidR="00544527" w:rsidRDefault="00544527" w:rsidP="00544527">
            <w:pPr>
              <w:rPr>
                <w:b/>
                <w:i/>
                <w:sz w:val="32"/>
                <w:szCs w:val="32"/>
              </w:rPr>
            </w:pPr>
          </w:p>
        </w:tc>
      </w:tr>
      <w:tr w:rsidR="00544527" w14:paraId="496E4D5A" w14:textId="77777777" w:rsidTr="00544527">
        <w:tblPrEx>
          <w:tblCellMar>
            <w:top w:w="0" w:type="dxa"/>
            <w:bottom w:w="0" w:type="dxa"/>
          </w:tblCellMar>
        </w:tblPrEx>
        <w:tc>
          <w:tcPr>
            <w:tcW w:w="10204" w:type="dxa"/>
          </w:tcPr>
          <w:p w14:paraId="7D5538BB" w14:textId="760C887F" w:rsidR="00544527" w:rsidRDefault="00544527" w:rsidP="00544527">
            <w:pPr>
              <w:rPr>
                <w:b/>
                <w:i/>
                <w:sz w:val="32"/>
                <w:szCs w:val="32"/>
              </w:rPr>
            </w:pPr>
            <w:r>
              <w:rPr>
                <w:b/>
                <w:i/>
              </w:rPr>
              <w:t>The Notice must be published on AT LEAST ONE OCCASION during the period of TEN WORKING DAYS starting on the day after the day on which the application was given to the Licensing Authority (Harlow District Council).</w:t>
            </w:r>
          </w:p>
        </w:tc>
      </w:tr>
      <w:tr w:rsidR="00544527" w14:paraId="667F85B7" w14:textId="77777777" w:rsidTr="00544527">
        <w:tblPrEx>
          <w:tblCellMar>
            <w:top w:w="0" w:type="dxa"/>
            <w:bottom w:w="0" w:type="dxa"/>
          </w:tblCellMar>
        </w:tblPrEx>
        <w:tc>
          <w:tcPr>
            <w:tcW w:w="10204" w:type="dxa"/>
          </w:tcPr>
          <w:p w14:paraId="279A536F" w14:textId="77777777" w:rsidR="00544527" w:rsidRDefault="00544527" w:rsidP="00544527">
            <w:pPr>
              <w:rPr>
                <w:b/>
                <w:i/>
                <w:sz w:val="32"/>
                <w:szCs w:val="32"/>
              </w:rPr>
            </w:pPr>
          </w:p>
        </w:tc>
      </w:tr>
      <w:tr w:rsidR="00544527" w14:paraId="4FBF1BD2" w14:textId="77777777" w:rsidTr="00544527">
        <w:tblPrEx>
          <w:tblCellMar>
            <w:top w:w="0" w:type="dxa"/>
            <w:bottom w:w="0" w:type="dxa"/>
          </w:tblCellMar>
        </w:tblPrEx>
        <w:tc>
          <w:tcPr>
            <w:tcW w:w="10204" w:type="dxa"/>
          </w:tcPr>
          <w:p w14:paraId="4539A6C1" w14:textId="1B68969B" w:rsidR="00544527" w:rsidRDefault="00544527" w:rsidP="00544527">
            <w:pPr>
              <w:rPr>
                <w:b/>
                <w:i/>
                <w:sz w:val="32"/>
                <w:szCs w:val="32"/>
              </w:rPr>
            </w:pPr>
            <w:r>
              <w:rPr>
                <w:b/>
                <w:i/>
              </w:rPr>
              <w:t>It is for the applicant to decide in which local newspaper to publish this Notice, but the Licensing Authority believes that a reasonable interpretation ‘a local newspaper’ in the relevant Regulation would include publication in The Star.  Applicants are advised to contact the Licensing Authority for clarification.</w:t>
            </w:r>
          </w:p>
        </w:tc>
      </w:tr>
      <w:tr w:rsidR="00544527" w14:paraId="6683C9F8" w14:textId="77777777" w:rsidTr="00544527">
        <w:tblPrEx>
          <w:tblCellMar>
            <w:top w:w="0" w:type="dxa"/>
            <w:bottom w:w="0" w:type="dxa"/>
          </w:tblCellMar>
        </w:tblPrEx>
        <w:tc>
          <w:tcPr>
            <w:tcW w:w="10204" w:type="dxa"/>
          </w:tcPr>
          <w:p w14:paraId="719B1BBB" w14:textId="77777777" w:rsidR="00544527" w:rsidRDefault="00544527" w:rsidP="00544527">
            <w:pPr>
              <w:rPr>
                <w:b/>
                <w:i/>
                <w:sz w:val="32"/>
                <w:szCs w:val="32"/>
              </w:rPr>
            </w:pPr>
          </w:p>
        </w:tc>
      </w:tr>
      <w:tr w:rsidR="00544527" w14:paraId="2CD8DA63" w14:textId="77777777" w:rsidTr="00544527">
        <w:tblPrEx>
          <w:tblCellMar>
            <w:top w:w="0" w:type="dxa"/>
            <w:bottom w:w="0" w:type="dxa"/>
          </w:tblCellMar>
        </w:tblPrEx>
        <w:tc>
          <w:tcPr>
            <w:tcW w:w="10204" w:type="dxa"/>
          </w:tcPr>
          <w:p w14:paraId="68E824CE" w14:textId="721C715F" w:rsidR="00544527" w:rsidRDefault="00544527" w:rsidP="00544527">
            <w:pPr>
              <w:rPr>
                <w:b/>
                <w:i/>
                <w:sz w:val="32"/>
                <w:szCs w:val="32"/>
              </w:rPr>
            </w:pPr>
            <w:r>
              <w:rPr>
                <w:b/>
                <w:i/>
              </w:rPr>
              <w:t>Representations by a Responsible Authority or any other person must be made during a period of 28 consecutive days starting on the day after the day on which the application is given to the Licensing Authority.  The closing date for receipt of representations should be calculated accordingly.</w:t>
            </w:r>
          </w:p>
        </w:tc>
      </w:tr>
    </w:tbl>
    <w:p w14:paraId="163EE2DB" w14:textId="77777777" w:rsidR="00544527" w:rsidRDefault="00544527">
      <w:pPr>
        <w:rPr>
          <w:b/>
          <w:i/>
          <w:sz w:val="32"/>
          <w:szCs w:val="32"/>
        </w:rPr>
      </w:pPr>
    </w:p>
    <w:sectPr w:rsidR="0000000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7919" w14:textId="77777777" w:rsidR="00A241CE" w:rsidRDefault="00A241CE" w:rsidP="00A241CE">
      <w:r>
        <w:separator/>
      </w:r>
    </w:p>
  </w:endnote>
  <w:endnote w:type="continuationSeparator" w:id="0">
    <w:p w14:paraId="64DDB62A" w14:textId="77777777" w:rsidR="00A241CE" w:rsidRDefault="00A241CE" w:rsidP="00A2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99C2" w14:textId="77777777" w:rsidR="00A241CE" w:rsidRDefault="00A241CE" w:rsidP="00A241CE">
      <w:r>
        <w:separator/>
      </w:r>
    </w:p>
  </w:footnote>
  <w:footnote w:type="continuationSeparator" w:id="0">
    <w:p w14:paraId="2F7D71DA" w14:textId="77777777" w:rsidR="00A241CE" w:rsidRDefault="00A241CE" w:rsidP="00A24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603CA"/>
    <w:multiLevelType w:val="hybridMultilevel"/>
    <w:tmpl w:val="D9EA643C"/>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80728E"/>
    <w:multiLevelType w:val="hybridMultilevel"/>
    <w:tmpl w:val="2C6A50E8"/>
    <w:lvl w:ilvl="0" w:tplc="F7145C2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837504186">
    <w:abstractNumId w:val="0"/>
  </w:num>
  <w:num w:numId="2" w16cid:durableId="83172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1"/>
    <w:rsid w:val="001333C9"/>
    <w:rsid w:val="00416897"/>
    <w:rsid w:val="00490E8F"/>
    <w:rsid w:val="00544527"/>
    <w:rsid w:val="00A241CE"/>
    <w:rsid w:val="00E2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C6F776"/>
  <w15:chartTrackingRefBased/>
  <w15:docId w15:val="{B0D95C1B-D6D7-4599-8C9F-3D385921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241CE"/>
    <w:pPr>
      <w:tabs>
        <w:tab w:val="center" w:pos="4513"/>
        <w:tab w:val="right" w:pos="9026"/>
      </w:tabs>
    </w:pPr>
  </w:style>
  <w:style w:type="character" w:customStyle="1" w:styleId="HeaderChar">
    <w:name w:val="Header Char"/>
    <w:basedOn w:val="DefaultParagraphFont"/>
    <w:link w:val="Header"/>
    <w:rsid w:val="00A241CE"/>
    <w:rPr>
      <w:rFonts w:ascii="Arial" w:hAnsi="Arial"/>
      <w:sz w:val="24"/>
      <w:szCs w:val="24"/>
    </w:rPr>
  </w:style>
  <w:style w:type="paragraph" w:styleId="Footer">
    <w:name w:val="footer"/>
    <w:basedOn w:val="Normal"/>
    <w:link w:val="FooterChar"/>
    <w:rsid w:val="00A241CE"/>
    <w:pPr>
      <w:tabs>
        <w:tab w:val="center" w:pos="4513"/>
        <w:tab w:val="right" w:pos="9026"/>
      </w:tabs>
    </w:pPr>
  </w:style>
  <w:style w:type="character" w:customStyle="1" w:styleId="FooterChar">
    <w:name w:val="Footer Char"/>
    <w:basedOn w:val="DefaultParagraphFont"/>
    <w:link w:val="Footer"/>
    <w:rsid w:val="00A241CE"/>
    <w:rPr>
      <w:rFonts w:ascii="Arial" w:hAnsi="Arial"/>
      <w:sz w:val="24"/>
      <w:szCs w:val="24"/>
    </w:rPr>
  </w:style>
  <w:style w:type="character" w:styleId="Hyperlink">
    <w:name w:val="Hyperlink"/>
    <w:basedOn w:val="DefaultParagraphFont"/>
    <w:rsid w:val="00A241CE"/>
    <w:rPr>
      <w:color w:val="467886" w:themeColor="hyperlink"/>
      <w:u w:val="single"/>
    </w:rPr>
  </w:style>
  <w:style w:type="character" w:styleId="UnresolvedMention">
    <w:name w:val="Unresolved Mention"/>
    <w:basedOn w:val="DefaultParagraphFont"/>
    <w:uiPriority w:val="99"/>
    <w:semiHidden/>
    <w:unhideWhenUsed/>
    <w:rsid w:val="00A2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censing@harlow.gov.uk" TargetMode="External"/><Relationship Id="rId3" Type="http://schemas.openxmlformats.org/officeDocument/2006/relationships/settings" Target="settings.xml"/><Relationship Id="rId7" Type="http://schemas.openxmlformats.org/officeDocument/2006/relationships/hyperlink" Target="http://www.harlow.gov.uk/business/licensing/alcohol-and-entertainment-licences/represen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LICENSING ACT 2003 – NOTICE OF APPLICATION</vt:lpstr>
    </vt:vector>
  </TitlesOfParts>
  <Company>Maldon District Council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NOTICE OF APPLICATION</dc:title>
  <dc:subject/>
  <dc:creator>IT Services</dc:creator>
  <cp:keywords/>
  <dc:description/>
  <cp:lastModifiedBy>Adam Sherwood</cp:lastModifiedBy>
  <cp:revision>3</cp:revision>
  <cp:lastPrinted>2011-05-09T15:26:00Z</cp:lastPrinted>
  <dcterms:created xsi:type="dcterms:W3CDTF">2024-08-30T14:59:00Z</dcterms:created>
  <dcterms:modified xsi:type="dcterms:W3CDTF">2024-08-30T15:02:00Z</dcterms:modified>
</cp:coreProperties>
</file>

<file path=docProps/custom.xml><?xml version="1.0" encoding="utf-8"?>
<Properties xmlns="http://schemas.openxmlformats.org/officeDocument/2006/custom-properties" xmlns:vt="http://schemas.openxmlformats.org/officeDocument/2006/docPropsVTypes"/>
</file>